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86E3" w14:textId="0113BF6C" w:rsidR="00E611EF" w:rsidRPr="00DC6501" w:rsidRDefault="008C2267" w:rsidP="00E611EF">
      <w:pPr>
        <w:rPr>
          <w:sz w:val="30"/>
          <w:szCs w:val="30"/>
        </w:rPr>
      </w:pPr>
      <w:r>
        <w:rPr>
          <w:b/>
          <w:noProof/>
          <w:sz w:val="30"/>
          <w:szCs w:val="30"/>
          <w:u w:val="single"/>
        </w:rPr>
        <w:drawing>
          <wp:anchor distT="0" distB="0" distL="114300" distR="114300" simplePos="0" relativeHeight="251656704" behindDoc="0" locked="0" layoutInCell="1" allowOverlap="1" wp14:anchorId="74C8224E" wp14:editId="464F6D93">
            <wp:simplePos x="0" y="0"/>
            <wp:positionH relativeFrom="column">
              <wp:posOffset>8140783</wp:posOffset>
            </wp:positionH>
            <wp:positionV relativeFrom="paragraph">
              <wp:posOffset>-871165</wp:posOffset>
            </wp:positionV>
            <wp:extent cx="1645920" cy="1645920"/>
            <wp:effectExtent l="0" t="0" r="0" b="0"/>
            <wp:wrapNone/>
            <wp:docPr id="437272636" name="Kuva 1" descr="Kuva, joka sisältää kohteen logo, kallo, symboli, teksti&#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72636" name="Kuva 1" descr="Kuva, joka sisältää kohteen logo, kallo, symboli, teksti&#10;&#10;Tekoälyllä luotu sisältö voi olla virheellistä."/>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39" cy="1646539"/>
                    </a:xfrm>
                    <a:prstGeom prst="rect">
                      <a:avLst/>
                    </a:prstGeom>
                  </pic:spPr>
                </pic:pic>
              </a:graphicData>
            </a:graphic>
            <wp14:sizeRelH relativeFrom="margin">
              <wp14:pctWidth>0</wp14:pctWidth>
            </wp14:sizeRelH>
            <wp14:sizeRelV relativeFrom="margin">
              <wp14:pctHeight>0</wp14:pctHeight>
            </wp14:sizeRelV>
          </wp:anchor>
        </w:drawing>
      </w:r>
      <w:r w:rsidR="00E611EF">
        <w:rPr>
          <w:b/>
          <w:sz w:val="30"/>
          <w:szCs w:val="30"/>
          <w:u w:val="single"/>
        </w:rPr>
        <w:t>BLANKETT FÖR EGENKONTROLL AV SÄLLE-HAMNAR</w:t>
      </w:r>
      <w:r w:rsidR="00E611EF">
        <w:tab/>
      </w:r>
      <w:r w:rsidR="00E611EF">
        <w:tab/>
      </w:r>
      <w:r w:rsidR="00E611EF">
        <w:tab/>
      </w:r>
      <w:r w:rsidR="00E611EF">
        <w:tab/>
      </w:r>
    </w:p>
    <w:p w14:paraId="2D8486E4" w14:textId="77777777" w:rsidR="00E611EF" w:rsidRPr="002A0C17" w:rsidRDefault="006E3092" w:rsidP="00E611EF">
      <w:pPr>
        <w:rPr>
          <w:b/>
        </w:rPr>
      </w:pPr>
      <w:r>
        <w:rPr>
          <w:b/>
        </w:rPr>
        <w:t xml:space="preserve">INSPEKTION AV AVFALLSUTRYMMEN </w:t>
      </w:r>
    </w:p>
    <w:p w14:paraId="2D8486E5" w14:textId="77777777" w:rsidR="00E611EF" w:rsidRDefault="00E611EF" w:rsidP="00E611EF">
      <w:r>
        <w:rPr>
          <w:b/>
        </w:rPr>
        <w:t>Vad:</w:t>
      </w:r>
      <w:r>
        <w:t xml:space="preserve"> Blanketten för egenkontroll ger en enkel mall för daglig inspektion av avfallsutrymmena. </w:t>
      </w:r>
    </w:p>
    <w:p w14:paraId="2D8486E6" w14:textId="7A085F31" w:rsidR="0037243D" w:rsidRDefault="00E611EF" w:rsidP="00E611EF">
      <w:r>
        <w:rPr>
          <w:b/>
        </w:rPr>
        <w:t>Varför:</w:t>
      </w:r>
      <w:r>
        <w:t xml:space="preserve"> I synnerhet under högsäsongen bör man varje dag se till att avfallsutrymmena är prydliga, lättillgängliga och säkra.</w:t>
      </w:r>
    </w:p>
    <w:p w14:paraId="2D8486E7" w14:textId="6CDD4E5A" w:rsidR="00E611EF" w:rsidRDefault="00E611EF" w:rsidP="00E611EF">
      <w:r>
        <w:rPr>
          <w:b/>
        </w:rPr>
        <w:t>Hur:</w:t>
      </w:r>
      <w:r>
        <w:t xml:space="preserve"> Den miljöansvarige för hamnen ska tillsammans med personalen gå igenom vad ett prydligt och säkert avfallsutrymme innebär.  Samtidigt ges personalen information om egenkontrollen och handledning i hur man fyller i blanketten. </w:t>
      </w:r>
    </w:p>
    <w:p w14:paraId="2D8486E8" w14:textId="55F41639" w:rsidR="00001645" w:rsidRDefault="00001645" w:rsidP="00E611EF">
      <w:r>
        <w:t>Om det fanns något att anmärka på avfallsutrymmets kondition bör reparationsåtgärderna antecknas på denna blankett. Man bör övervaka hur reparationen fortskrider och vid nästa inspektion bör man se till att bristen har åtgärdats på ett korrekt sätt.</w:t>
      </w:r>
    </w:p>
    <w:p w14:paraId="2D8486E9" w14:textId="77777777" w:rsidR="00E611EF" w:rsidRDefault="00E611EF" w:rsidP="00E611EF">
      <w:r>
        <w:t xml:space="preserve">Den som inspekterat avfallsutrymmet ska efter varje inspektion göra en anteckning om det på listan, på ett sätt som överenskommits med den miljöansvarige för hamnen. </w:t>
      </w:r>
    </w:p>
    <w:p w14:paraId="2D8486EA" w14:textId="77777777" w:rsidR="00E611EF" w:rsidRDefault="00E611EF" w:rsidP="00E611EF">
      <w:r>
        <w:t xml:space="preserve">En ny blankett fylls i för varje vecka. Säsongens blanketter bör förvaras tillsammans med de övriga egenkontrollblanketterna åtminstone under hela säsongen. </w:t>
      </w:r>
    </w:p>
    <w:p w14:paraId="2D8486EB" w14:textId="34E979AC" w:rsidR="00D33552" w:rsidRDefault="00D33552" w:rsidP="00E611EF"/>
    <w:p w14:paraId="2D8486EC" w14:textId="77777777" w:rsidR="00E611EF" w:rsidRDefault="00E611EF" w:rsidP="00E611EF">
      <w:pPr>
        <w:rPr>
          <w:b/>
          <w:sz w:val="30"/>
          <w:szCs w:val="30"/>
          <w:u w:val="single"/>
        </w:rPr>
      </w:pPr>
    </w:p>
    <w:p w14:paraId="2D8486ED" w14:textId="7390A753" w:rsidR="00E611EF" w:rsidRDefault="00E611EF" w:rsidP="00E611EF">
      <w:pPr>
        <w:rPr>
          <w:b/>
          <w:sz w:val="30"/>
          <w:szCs w:val="30"/>
          <w:u w:val="single"/>
        </w:rPr>
      </w:pPr>
    </w:p>
    <w:p w14:paraId="2D8486EE" w14:textId="6EDE7E23" w:rsidR="00E611EF" w:rsidRDefault="00E611EF" w:rsidP="00E611EF">
      <w:pPr>
        <w:rPr>
          <w:b/>
          <w:sz w:val="30"/>
          <w:szCs w:val="30"/>
          <w:u w:val="single"/>
        </w:rPr>
      </w:pPr>
    </w:p>
    <w:p w14:paraId="2D8486EF" w14:textId="77777777" w:rsidR="00E611EF" w:rsidRDefault="00E611EF" w:rsidP="00E611EF">
      <w:pPr>
        <w:rPr>
          <w:b/>
          <w:sz w:val="30"/>
          <w:szCs w:val="30"/>
          <w:u w:val="single"/>
        </w:rPr>
      </w:pPr>
    </w:p>
    <w:p w14:paraId="2D8486F0" w14:textId="47B9666F" w:rsidR="00E611EF" w:rsidRDefault="00E611EF" w:rsidP="00E611EF">
      <w:pPr>
        <w:rPr>
          <w:b/>
          <w:sz w:val="30"/>
          <w:szCs w:val="30"/>
          <w:u w:val="single"/>
        </w:rPr>
      </w:pPr>
    </w:p>
    <w:p w14:paraId="2D8486F1" w14:textId="77777777" w:rsidR="00E611EF" w:rsidRDefault="00E611EF" w:rsidP="00E611EF">
      <w:pPr>
        <w:rPr>
          <w:b/>
          <w:sz w:val="30"/>
          <w:szCs w:val="30"/>
          <w:u w:val="single"/>
        </w:rPr>
      </w:pPr>
    </w:p>
    <w:p w14:paraId="2D8486F2" w14:textId="017530DE" w:rsidR="00E611EF" w:rsidRPr="00DC6501" w:rsidRDefault="008C2267" w:rsidP="00E611EF">
      <w:pPr>
        <w:rPr>
          <w:sz w:val="30"/>
          <w:szCs w:val="30"/>
        </w:rPr>
      </w:pPr>
      <w:r>
        <w:rPr>
          <w:b/>
          <w:noProof/>
          <w:sz w:val="30"/>
          <w:szCs w:val="30"/>
          <w:u w:val="single"/>
        </w:rPr>
        <w:lastRenderedPageBreak/>
        <w:drawing>
          <wp:anchor distT="0" distB="0" distL="114300" distR="114300" simplePos="0" relativeHeight="251660800" behindDoc="0" locked="0" layoutInCell="1" allowOverlap="1" wp14:anchorId="750A3E57" wp14:editId="07E06355">
            <wp:simplePos x="0" y="0"/>
            <wp:positionH relativeFrom="column">
              <wp:posOffset>8118282</wp:posOffset>
            </wp:positionH>
            <wp:positionV relativeFrom="paragraph">
              <wp:posOffset>-692398</wp:posOffset>
            </wp:positionV>
            <wp:extent cx="1645920" cy="1645920"/>
            <wp:effectExtent l="0" t="0" r="0" b="0"/>
            <wp:wrapNone/>
            <wp:docPr id="688754101" name="Kuva 1" descr="Kuva, joka sisältää kohteen logo, kallo, symboli, teksti&#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72636" name="Kuva 1" descr="Kuva, joka sisältää kohteen logo, kallo, symboli, teksti&#10;&#10;Tekoälyllä luotu sisältö voi olla virheellistä."/>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00E611EF">
        <w:rPr>
          <w:b/>
          <w:sz w:val="30"/>
          <w:szCs w:val="30"/>
          <w:u w:val="single"/>
        </w:rPr>
        <w:t>BLANKETT FÖR EGENKONTROLL</w:t>
      </w:r>
      <w:r w:rsidR="00E611EF">
        <w:tab/>
      </w:r>
      <w:r w:rsidR="00E611EF">
        <w:tab/>
      </w:r>
      <w:r w:rsidR="00E611EF">
        <w:tab/>
      </w:r>
      <w:r w:rsidR="00E611EF">
        <w:tab/>
      </w:r>
      <w:r w:rsidR="00E611EF">
        <w:tab/>
      </w:r>
      <w:r w:rsidR="00E611EF">
        <w:tab/>
      </w:r>
      <w:r w:rsidR="00E611EF">
        <w:tab/>
      </w:r>
    </w:p>
    <w:p w14:paraId="2D8486F3" w14:textId="77777777" w:rsidR="00E611EF" w:rsidRPr="00EA5A8E" w:rsidRDefault="006E3092" w:rsidP="00E611EF">
      <w:pPr>
        <w:rPr>
          <w:b/>
        </w:rPr>
      </w:pPr>
      <w:r>
        <w:rPr>
          <w:b/>
        </w:rPr>
        <w:t>INSPEKTION AV AVFALLSUTRYMMEN</w:t>
      </w:r>
    </w:p>
    <w:p w14:paraId="2D8486F4" w14:textId="77777777" w:rsidR="00E611EF" w:rsidRDefault="00E611EF" w:rsidP="00E611EF">
      <w:r>
        <w:t>Miljöansvarig för hamnen:_____________________________________</w:t>
      </w:r>
    </w:p>
    <w:p w14:paraId="2D8486F5" w14:textId="77777777" w:rsidR="00E611EF" w:rsidRDefault="005175EC" w:rsidP="00E611EF">
      <w:r>
        <w:t>Tid för morgoninspektion:_______________________</w:t>
      </w:r>
    </w:p>
    <w:p w14:paraId="2D8486F6" w14:textId="77777777" w:rsidR="0043648B" w:rsidRDefault="005175EC" w:rsidP="00E611EF">
      <w:r>
        <w:t>Tid för kvällsinspektion:</w:t>
      </w:r>
      <w:r>
        <w:softHyphen/>
      </w:r>
      <w:r>
        <w:softHyphen/>
      </w:r>
      <w:r>
        <w:softHyphen/>
      </w:r>
      <w:r>
        <w:softHyphen/>
      </w:r>
      <w:r>
        <w:softHyphen/>
      </w:r>
      <w:r>
        <w:softHyphen/>
      </w:r>
      <w:r>
        <w:softHyphen/>
      </w:r>
      <w:r>
        <w:softHyphen/>
      </w:r>
      <w:r>
        <w:softHyphen/>
      </w:r>
      <w:r>
        <w:softHyphen/>
      </w:r>
      <w:r>
        <w:softHyphen/>
      </w:r>
      <w:r>
        <w:softHyphen/>
      </w:r>
      <w:r>
        <w:softHyphen/>
        <w:t>__________________</w:t>
      </w:r>
    </w:p>
    <w:tbl>
      <w:tblPr>
        <w:tblStyle w:val="Normaalivarjostus2-korostus11"/>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684"/>
        <w:gridCol w:w="1817"/>
        <w:gridCol w:w="1824"/>
        <w:gridCol w:w="1829"/>
        <w:gridCol w:w="1821"/>
        <w:gridCol w:w="1822"/>
        <w:gridCol w:w="1824"/>
      </w:tblGrid>
      <w:tr w:rsidR="006E3092" w14:paraId="2D8486FF" w14:textId="77777777" w:rsidTr="00FE69CE">
        <w:trPr>
          <w:cnfStyle w:val="100000000000" w:firstRow="1" w:lastRow="0" w:firstColumn="0" w:lastColumn="0" w:oddVBand="0" w:evenVBand="0" w:oddHBand="0" w:evenHBand="0" w:firstRowFirstColumn="0" w:firstRowLastColumn="0" w:lastRowFirstColumn="0" w:lastRowLastColumn="0"/>
          <w:trHeight w:val="550"/>
          <w:jc w:val="center"/>
        </w:trPr>
        <w:tc>
          <w:tcPr>
            <w:cnfStyle w:val="001000000100" w:firstRow="0" w:lastRow="0" w:firstColumn="1" w:lastColumn="0" w:oddVBand="0" w:evenVBand="0" w:oddHBand="0" w:evenHBand="0" w:firstRowFirstColumn="1" w:firstRowLastColumn="0" w:lastRowFirstColumn="0" w:lastRowLastColumn="0"/>
            <w:tcW w:w="2014" w:type="dxa"/>
            <w:tcBorders>
              <w:top w:val="none" w:sz="0" w:space="0" w:color="auto"/>
              <w:left w:val="none" w:sz="0" w:space="0" w:color="auto"/>
              <w:bottom w:val="none" w:sz="0" w:space="0" w:color="auto"/>
              <w:right w:val="none" w:sz="0" w:space="0" w:color="auto"/>
            </w:tcBorders>
          </w:tcPr>
          <w:p w14:paraId="2D8486F7" w14:textId="77777777" w:rsidR="006E3092" w:rsidRPr="0047530D" w:rsidRDefault="006E3092" w:rsidP="006D2681">
            <w:pPr>
              <w:rPr>
                <w:sz w:val="30"/>
                <w:szCs w:val="30"/>
              </w:rPr>
            </w:pPr>
            <w:r>
              <w:rPr>
                <w:sz w:val="30"/>
                <w:szCs w:val="30"/>
              </w:rPr>
              <w:t>VECKA:</w:t>
            </w:r>
          </w:p>
        </w:tc>
        <w:tc>
          <w:tcPr>
            <w:tcW w:w="1714" w:type="dxa"/>
            <w:tcBorders>
              <w:top w:val="none" w:sz="0" w:space="0" w:color="auto"/>
              <w:left w:val="none" w:sz="0" w:space="0" w:color="auto"/>
              <w:bottom w:val="none" w:sz="0" w:space="0" w:color="auto"/>
              <w:right w:val="none" w:sz="0" w:space="0" w:color="auto"/>
            </w:tcBorders>
          </w:tcPr>
          <w:p w14:paraId="2D8486F8"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MÅN.</w:t>
            </w:r>
          </w:p>
        </w:tc>
        <w:tc>
          <w:tcPr>
            <w:tcW w:w="1864" w:type="dxa"/>
            <w:tcBorders>
              <w:top w:val="none" w:sz="0" w:space="0" w:color="auto"/>
              <w:left w:val="none" w:sz="0" w:space="0" w:color="auto"/>
              <w:bottom w:val="none" w:sz="0" w:space="0" w:color="auto"/>
              <w:right w:val="none" w:sz="0" w:space="0" w:color="auto"/>
            </w:tcBorders>
          </w:tcPr>
          <w:p w14:paraId="2D8486F9"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TIS.</w:t>
            </w:r>
          </w:p>
        </w:tc>
        <w:tc>
          <w:tcPr>
            <w:tcW w:w="1864" w:type="dxa"/>
            <w:tcBorders>
              <w:top w:val="none" w:sz="0" w:space="0" w:color="auto"/>
              <w:left w:val="none" w:sz="0" w:space="0" w:color="auto"/>
              <w:bottom w:val="none" w:sz="0" w:space="0" w:color="auto"/>
              <w:right w:val="none" w:sz="0" w:space="0" w:color="auto"/>
            </w:tcBorders>
          </w:tcPr>
          <w:p w14:paraId="2D8486FA"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ONS.</w:t>
            </w:r>
          </w:p>
        </w:tc>
        <w:tc>
          <w:tcPr>
            <w:tcW w:w="1864" w:type="dxa"/>
            <w:tcBorders>
              <w:top w:val="none" w:sz="0" w:space="0" w:color="auto"/>
              <w:left w:val="none" w:sz="0" w:space="0" w:color="auto"/>
              <w:bottom w:val="none" w:sz="0" w:space="0" w:color="auto"/>
              <w:right w:val="none" w:sz="0" w:space="0" w:color="auto"/>
            </w:tcBorders>
          </w:tcPr>
          <w:p w14:paraId="2D8486FB"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TORS.</w:t>
            </w:r>
          </w:p>
        </w:tc>
        <w:tc>
          <w:tcPr>
            <w:tcW w:w="1864" w:type="dxa"/>
            <w:tcBorders>
              <w:top w:val="none" w:sz="0" w:space="0" w:color="auto"/>
              <w:left w:val="none" w:sz="0" w:space="0" w:color="auto"/>
              <w:bottom w:val="none" w:sz="0" w:space="0" w:color="auto"/>
              <w:right w:val="none" w:sz="0" w:space="0" w:color="auto"/>
            </w:tcBorders>
          </w:tcPr>
          <w:p w14:paraId="2D8486FC"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FRE.</w:t>
            </w:r>
          </w:p>
        </w:tc>
        <w:tc>
          <w:tcPr>
            <w:tcW w:w="1864" w:type="dxa"/>
            <w:tcBorders>
              <w:top w:val="none" w:sz="0" w:space="0" w:color="auto"/>
              <w:left w:val="none" w:sz="0" w:space="0" w:color="auto"/>
              <w:bottom w:val="none" w:sz="0" w:space="0" w:color="auto"/>
              <w:right w:val="none" w:sz="0" w:space="0" w:color="auto"/>
            </w:tcBorders>
          </w:tcPr>
          <w:p w14:paraId="2D8486FD"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LÖR.</w:t>
            </w:r>
          </w:p>
        </w:tc>
        <w:tc>
          <w:tcPr>
            <w:tcW w:w="1864" w:type="dxa"/>
            <w:tcBorders>
              <w:top w:val="none" w:sz="0" w:space="0" w:color="auto"/>
              <w:left w:val="none" w:sz="0" w:space="0" w:color="auto"/>
              <w:bottom w:val="none" w:sz="0" w:space="0" w:color="auto"/>
              <w:right w:val="none" w:sz="0" w:space="0" w:color="auto"/>
            </w:tcBorders>
          </w:tcPr>
          <w:p w14:paraId="2D8486FE" w14:textId="77777777" w:rsidR="006E3092" w:rsidRPr="0047530D" w:rsidRDefault="006E3092" w:rsidP="006D2681">
            <w:pP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SÖN.</w:t>
            </w:r>
          </w:p>
        </w:tc>
      </w:tr>
      <w:tr w:rsidR="006E3092" w14:paraId="2D848708" w14:textId="77777777" w:rsidTr="00FE69C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00" w14:textId="77777777" w:rsidR="006E3092" w:rsidRDefault="006E3092" w:rsidP="006D2681">
            <w:r>
              <w:t>MORGON:</w:t>
            </w:r>
          </w:p>
        </w:tc>
        <w:tc>
          <w:tcPr>
            <w:tcW w:w="1714" w:type="dxa"/>
          </w:tcPr>
          <w:p w14:paraId="2D848701"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2"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3"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4"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5"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6"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07"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r>
      <w:tr w:rsidR="006E3092" w14:paraId="2D848712" w14:textId="77777777" w:rsidTr="00FE69CE">
        <w:trPr>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09" w14:textId="77777777" w:rsidR="006E3092" w:rsidRDefault="006E3092" w:rsidP="006D2681">
            <w:r>
              <w:t>blandavfallsbehållare–</w:t>
            </w:r>
          </w:p>
          <w:p w14:paraId="2D84870A" w14:textId="77777777" w:rsidR="00CC72B7" w:rsidRDefault="00CC72B7" w:rsidP="006D2681">
            <w:r>
              <w:t>bytt sopsäckar, st.</w:t>
            </w:r>
          </w:p>
        </w:tc>
        <w:tc>
          <w:tcPr>
            <w:tcW w:w="1714" w:type="dxa"/>
          </w:tcPr>
          <w:p w14:paraId="2D84870B"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0C"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0D"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0E"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0F"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10"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11"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r>
      <w:tr w:rsidR="006E3092" w14:paraId="2D84871B" w14:textId="77777777" w:rsidTr="00FE69C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13" w14:textId="77777777" w:rsidR="006E3092" w:rsidRDefault="006E3092" w:rsidP="006D2681">
            <w:r>
              <w:t>returavfallsbehållare – renhet kontrollerad</w:t>
            </w:r>
          </w:p>
        </w:tc>
        <w:tc>
          <w:tcPr>
            <w:tcW w:w="1714" w:type="dxa"/>
          </w:tcPr>
          <w:p w14:paraId="2D848714"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5"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6"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7"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8"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9"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1A"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r>
      <w:tr w:rsidR="006E3092" w14:paraId="2D848724" w14:textId="77777777" w:rsidTr="00FE69CE">
        <w:trPr>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1C" w14:textId="77777777" w:rsidR="006E3092" w:rsidRDefault="006E3092" w:rsidP="006E3092">
            <w:r>
              <w:t>behållare för farligt avfall – säkerhet kontrollerad</w:t>
            </w:r>
          </w:p>
        </w:tc>
        <w:tc>
          <w:tcPr>
            <w:tcW w:w="1714" w:type="dxa"/>
          </w:tcPr>
          <w:p w14:paraId="2D84871D"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1E"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1F"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20"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21"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22"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23"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r>
      <w:tr w:rsidR="006E3092" w14:paraId="2D84872D" w14:textId="77777777" w:rsidTr="00FE69C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25" w14:textId="77777777" w:rsidR="006E3092" w:rsidRDefault="00E972DD" w:rsidP="006D2681">
            <w:r>
              <w:t>Observera!</w:t>
            </w:r>
          </w:p>
        </w:tc>
        <w:tc>
          <w:tcPr>
            <w:tcW w:w="1714" w:type="dxa"/>
          </w:tcPr>
          <w:p w14:paraId="2D848726"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7"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8"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9"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A"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B"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2C"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r>
      <w:tr w:rsidR="006E3092" w14:paraId="2D848736" w14:textId="77777777" w:rsidTr="00FE69CE">
        <w:trPr>
          <w:trHeight w:val="413"/>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2E" w14:textId="77777777" w:rsidR="006E3092" w:rsidRDefault="006E3092" w:rsidP="006D2681">
            <w:r>
              <w:t>KVÄLL:</w:t>
            </w:r>
          </w:p>
        </w:tc>
        <w:tc>
          <w:tcPr>
            <w:tcW w:w="1714" w:type="dxa"/>
          </w:tcPr>
          <w:p w14:paraId="2D84872F"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0"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1"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2"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3"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4"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35"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r>
      <w:tr w:rsidR="006E3092" w14:paraId="2D84873F" w14:textId="77777777" w:rsidTr="00FE69C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37" w14:textId="77777777" w:rsidR="006E3092" w:rsidRDefault="006E3092" w:rsidP="006D2681">
            <w:r>
              <w:t>blandavfallsbehållare – bytt sopsäckar, st.</w:t>
            </w:r>
          </w:p>
        </w:tc>
        <w:tc>
          <w:tcPr>
            <w:tcW w:w="1714" w:type="dxa"/>
          </w:tcPr>
          <w:p w14:paraId="2D848738"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9"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A"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B"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C"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D"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3E"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r>
      <w:tr w:rsidR="006E3092" w14:paraId="2D848748" w14:textId="77777777" w:rsidTr="00FE69CE">
        <w:trPr>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right w:val="none" w:sz="0" w:space="0" w:color="auto"/>
            </w:tcBorders>
          </w:tcPr>
          <w:p w14:paraId="2D848740" w14:textId="77777777" w:rsidR="006E3092" w:rsidRDefault="006E3092" w:rsidP="006D2681">
            <w:r>
              <w:t>returavfallsbehållare – snygghet kontrollerad</w:t>
            </w:r>
          </w:p>
        </w:tc>
        <w:tc>
          <w:tcPr>
            <w:tcW w:w="1714" w:type="dxa"/>
          </w:tcPr>
          <w:p w14:paraId="2D848741"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2"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3"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4"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5"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6"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47" w14:textId="77777777" w:rsidR="006E3092" w:rsidRDefault="006E3092" w:rsidP="006D2681">
            <w:pPr>
              <w:cnfStyle w:val="000000000000" w:firstRow="0" w:lastRow="0" w:firstColumn="0" w:lastColumn="0" w:oddVBand="0" w:evenVBand="0" w:oddHBand="0" w:evenHBand="0" w:firstRowFirstColumn="0" w:firstRowLastColumn="0" w:lastRowFirstColumn="0" w:lastRowLastColumn="0"/>
            </w:pPr>
          </w:p>
        </w:tc>
      </w:tr>
      <w:tr w:rsidR="006E3092" w14:paraId="2D848751" w14:textId="77777777" w:rsidTr="00E972D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single" w:sz="4" w:space="0" w:color="auto"/>
              <w:right w:val="none" w:sz="0" w:space="0" w:color="auto"/>
            </w:tcBorders>
          </w:tcPr>
          <w:p w14:paraId="2D848749" w14:textId="77777777" w:rsidR="006E3092" w:rsidRDefault="006E3092" w:rsidP="006D2681">
            <w:r>
              <w:t>behållare för farligt avfall – säkerhet kontrollerad</w:t>
            </w:r>
          </w:p>
        </w:tc>
        <w:tc>
          <w:tcPr>
            <w:tcW w:w="1714" w:type="dxa"/>
          </w:tcPr>
          <w:p w14:paraId="2D84874A"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4B"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4C"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4D"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4E"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4F"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c>
          <w:tcPr>
            <w:tcW w:w="1864" w:type="dxa"/>
          </w:tcPr>
          <w:p w14:paraId="2D848750" w14:textId="77777777" w:rsidR="006E3092" w:rsidRDefault="006E3092" w:rsidP="006D2681">
            <w:pPr>
              <w:cnfStyle w:val="000000100000" w:firstRow="0" w:lastRow="0" w:firstColumn="0" w:lastColumn="0" w:oddVBand="0" w:evenVBand="0" w:oddHBand="1" w:evenHBand="0" w:firstRowFirstColumn="0" w:firstRowLastColumn="0" w:lastRowFirstColumn="0" w:lastRowLastColumn="0"/>
            </w:pPr>
          </w:p>
        </w:tc>
      </w:tr>
      <w:tr w:rsidR="00E972DD" w14:paraId="2D84875A" w14:textId="77777777" w:rsidTr="00E972DD">
        <w:trPr>
          <w:trHeight w:val="385"/>
          <w:jc w:val="center"/>
        </w:trPr>
        <w:tc>
          <w:tcPr>
            <w:cnfStyle w:val="001000000000" w:firstRow="0" w:lastRow="0" w:firstColumn="1" w:lastColumn="0" w:oddVBand="0" w:evenVBand="0" w:oddHBand="0" w:evenHBand="0" w:firstRowFirstColumn="0" w:firstRowLastColumn="0" w:lastRowFirstColumn="0" w:lastRowLastColumn="0"/>
            <w:tcW w:w="2014" w:type="dxa"/>
            <w:tcBorders>
              <w:left w:val="single" w:sz="4" w:space="0" w:color="auto"/>
              <w:bottom w:val="single" w:sz="4" w:space="0" w:color="auto"/>
            </w:tcBorders>
          </w:tcPr>
          <w:p w14:paraId="2D848752" w14:textId="77777777" w:rsidR="00E972DD" w:rsidRDefault="00E972DD" w:rsidP="006D2681">
            <w:r>
              <w:t>Observera!</w:t>
            </w:r>
          </w:p>
        </w:tc>
        <w:tc>
          <w:tcPr>
            <w:tcW w:w="1714" w:type="dxa"/>
          </w:tcPr>
          <w:p w14:paraId="2D848753"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4"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5"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6"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7"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8"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c>
          <w:tcPr>
            <w:tcW w:w="1864" w:type="dxa"/>
          </w:tcPr>
          <w:p w14:paraId="2D848759" w14:textId="77777777" w:rsidR="00E972DD" w:rsidRDefault="00E972DD" w:rsidP="006D2681">
            <w:pPr>
              <w:cnfStyle w:val="000000000000" w:firstRow="0" w:lastRow="0" w:firstColumn="0" w:lastColumn="0" w:oddVBand="0" w:evenVBand="0" w:oddHBand="0" w:evenHBand="0" w:firstRowFirstColumn="0" w:firstRowLastColumn="0" w:lastRowFirstColumn="0" w:lastRowLastColumn="0"/>
            </w:pPr>
          </w:p>
        </w:tc>
      </w:tr>
    </w:tbl>
    <w:p w14:paraId="2D84875B" w14:textId="77777777" w:rsidR="0090220B" w:rsidRDefault="0090220B" w:rsidP="00A91CE9"/>
    <w:sectPr w:rsidR="0090220B" w:rsidSect="0043648B">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1EF"/>
    <w:rsid w:val="00001645"/>
    <w:rsid w:val="0014567E"/>
    <w:rsid w:val="002F3B14"/>
    <w:rsid w:val="00321887"/>
    <w:rsid w:val="0037243D"/>
    <w:rsid w:val="003B216A"/>
    <w:rsid w:val="0043648B"/>
    <w:rsid w:val="004D742E"/>
    <w:rsid w:val="005029BA"/>
    <w:rsid w:val="005175EC"/>
    <w:rsid w:val="006001E9"/>
    <w:rsid w:val="00695FF3"/>
    <w:rsid w:val="006E3092"/>
    <w:rsid w:val="00723C42"/>
    <w:rsid w:val="007C11DC"/>
    <w:rsid w:val="00823480"/>
    <w:rsid w:val="008C2267"/>
    <w:rsid w:val="008D1FFA"/>
    <w:rsid w:val="0090220B"/>
    <w:rsid w:val="00A91CE9"/>
    <w:rsid w:val="00B036F1"/>
    <w:rsid w:val="00CC72B7"/>
    <w:rsid w:val="00D33552"/>
    <w:rsid w:val="00E045A2"/>
    <w:rsid w:val="00E611EF"/>
    <w:rsid w:val="00E93473"/>
    <w:rsid w:val="00E972DD"/>
    <w:rsid w:val="00EA5176"/>
    <w:rsid w:val="00EA5A8E"/>
    <w:rsid w:val="00ED272E"/>
    <w:rsid w:val="00F009D1"/>
    <w:rsid w:val="00F7407E"/>
    <w:rsid w:val="00F95F43"/>
    <w:rsid w:val="00FE69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86E3"/>
  <w15:docId w15:val="{D8B2CB5E-D3E8-47A3-8045-E554B80C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sv-FI" w:eastAsia="sv-FI" w:bidi="sv-FI"/>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11EF"/>
    <w:rPr>
      <w:rFonts w:asciiTheme="minorHAnsi" w:hAnsiTheme="minorHAnsi"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alivarjostus2-korostus11">
    <w:name w:val="Normaali varjostus 2 - korostus 11"/>
    <w:basedOn w:val="Normaalitaulukko"/>
    <w:uiPriority w:val="64"/>
    <w:rsid w:val="00E611EF"/>
    <w:pPr>
      <w:spacing w:after="0" w:line="240" w:lineRule="auto"/>
    </w:pPr>
    <w:rPr>
      <w:rFonts w:ascii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ulukkoRuudukko">
    <w:name w:val="Table Grid"/>
    <w:basedOn w:val="Normaalitaulukko"/>
    <w:uiPriority w:val="59"/>
    <w:rsid w:val="0043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62B7E765A9E178439CB9E17DFCA9E772" ma:contentTypeVersion="18" ma:contentTypeDescription="Luo uusi asiakirja." ma:contentTypeScope="" ma:versionID="472d7fef8c6f2a919ee82acf5d40e537">
  <xsd:schema xmlns:xsd="http://www.w3.org/2001/XMLSchema" xmlns:xs="http://www.w3.org/2001/XMLSchema" xmlns:p="http://schemas.microsoft.com/office/2006/metadata/properties" xmlns:ns2="8949b640-8781-4175-8704-7c1bced07e71" xmlns:ns3="309f7cc2-446e-4cee-92ea-0de981d4191e" targetNamespace="http://schemas.microsoft.com/office/2006/metadata/properties" ma:root="true" ma:fieldsID="78b4be22973c2bdb13a6a27276eecf49" ns2:_="" ns3:_="">
    <xsd:import namespace="8949b640-8781-4175-8704-7c1bced07e71"/>
    <xsd:import namespace="309f7cc2-446e-4cee-92ea-0de981d41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9b640-8781-4175-8704-7c1bced07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ad4d705-aecc-4c13-8a08-48231e7952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7cc2-446e-4cee-92ea-0de981d4191e"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1247b5b2-271a-4eee-bbe8-caed743f5a98}" ma:internalName="TaxCatchAll" ma:showField="CatchAllData" ma:web="309f7cc2-446e-4cee-92ea-0de981d41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49b640-8781-4175-8704-7c1bced07e71">
      <Terms xmlns="http://schemas.microsoft.com/office/infopath/2007/PartnerControls"/>
    </lcf76f155ced4ddcb4097134ff3c332f>
    <TaxCatchAll xmlns="309f7cc2-446e-4cee-92ea-0de981d4191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8F81-C370-4842-A42D-404E0CDEA0F2}">
  <ds:schemaRefs>
    <ds:schemaRef ds:uri="http://schemas.microsoft.com/sharepoint/v3/contenttype/forms"/>
  </ds:schemaRefs>
</ds:datastoreItem>
</file>

<file path=customXml/itemProps2.xml><?xml version="1.0" encoding="utf-8"?>
<ds:datastoreItem xmlns:ds="http://schemas.openxmlformats.org/officeDocument/2006/customXml" ds:itemID="{D1F4A1DA-1E57-4525-9B79-04FE2824E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9b640-8781-4175-8704-7c1bced07e71"/>
    <ds:schemaRef ds:uri="309f7cc2-446e-4cee-92ea-0de981d41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2044D-27A5-4C3D-8703-81DDCC771FCA}">
  <ds:schemaRefs>
    <ds:schemaRef ds:uri="http://purl.org/dc/elements/1.1/"/>
    <ds:schemaRef ds:uri="http://schemas.microsoft.com/office/2006/documentManagement/types"/>
    <ds:schemaRef ds:uri="http://schemas.microsoft.com/office/2006/metadata/properties"/>
    <ds:schemaRef ds:uri="309f7cc2-446e-4cee-92ea-0de981d4191e"/>
    <ds:schemaRef ds:uri="http://schemas.microsoft.com/office/infopath/2007/PartnerControls"/>
    <ds:schemaRef ds:uri="http://purl.org/dc/terms/"/>
    <ds:schemaRef ds:uri="http://schemas.openxmlformats.org/package/2006/metadata/core-properties"/>
    <ds:schemaRef ds:uri="8949b640-8781-4175-8704-7c1bced07e71"/>
    <ds:schemaRef ds:uri="http://www.w3.org/XML/1998/namespace"/>
    <ds:schemaRef ds:uri="http://purl.org/dc/dcmitype/"/>
  </ds:schemaRefs>
</ds:datastoreItem>
</file>

<file path=customXml/itemProps4.xml><?xml version="1.0" encoding="utf-8"?>
<ds:datastoreItem xmlns:ds="http://schemas.openxmlformats.org/officeDocument/2006/customXml" ds:itemID="{546EA807-7511-474C-ACF4-B66ED075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1594</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Scandix</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Laura Leimola</cp:lastModifiedBy>
  <cp:revision>2</cp:revision>
  <cp:lastPrinted>2012-02-09T10:20:00Z</cp:lastPrinted>
  <dcterms:created xsi:type="dcterms:W3CDTF">2025-07-09T10:39:00Z</dcterms:created>
  <dcterms:modified xsi:type="dcterms:W3CDTF">2025-07-09T10:39:00Z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0x01010062B7E765A9E178439CB9E17DFCA9E772</vt:lpwstr>
  </property>
</Properties>
</file>